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608719A" wp14:paraId="78B71646" wp14:textId="54EEEB7F">
      <w:pPr>
        <w:spacing w:after="160" w:line="259" w:lineRule="auto"/>
        <w:ind w:left="1440"/>
        <w:rPr>
          <w:rFonts w:ascii="Calibri" w:hAnsi="Calibri" w:eastAsia="Calibri" w:cs="Calibri"/>
          <w:b w:val="0"/>
          <w:bCs w:val="0"/>
          <w:i w:val="0"/>
          <w:iCs w:val="0"/>
          <w:caps w:val="0"/>
          <w:smallCaps w:val="0"/>
          <w:noProof w:val="0"/>
          <w:color w:val="4472C4" w:themeColor="accent1" w:themeTint="FF" w:themeShade="FF"/>
          <w:sz w:val="28"/>
          <w:szCs w:val="28"/>
          <w:lang w:val="en-US"/>
        </w:rPr>
      </w:pPr>
    </w:p>
    <w:p xmlns:wp14="http://schemas.microsoft.com/office/word/2010/wordml" w:rsidP="0608719A" wp14:paraId="2B6EA879" wp14:textId="6FCEFA2E">
      <w:pPr>
        <w:spacing w:after="0" w:line="240" w:lineRule="auto"/>
        <w:jc w:val="center"/>
        <w:rPr>
          <w:rFonts w:ascii="Calibri" w:hAnsi="Calibri" w:eastAsia="Calibri" w:cs="Calibri"/>
          <w:b w:val="0"/>
          <w:bCs w:val="0"/>
          <w:i w:val="0"/>
          <w:iCs w:val="0"/>
          <w:caps w:val="0"/>
          <w:smallCaps w:val="0"/>
          <w:noProof w:val="0"/>
          <w:color w:val="4472C4" w:themeColor="accent1" w:themeTint="FF" w:themeShade="FF"/>
          <w:sz w:val="28"/>
          <w:szCs w:val="28"/>
          <w:lang w:val="en-US"/>
        </w:rPr>
      </w:pPr>
      <w:r w:rsidRPr="0608719A" w:rsidR="263CAF31">
        <w:rPr>
          <w:rFonts w:ascii="Calibri" w:hAnsi="Calibri" w:eastAsia="Calibri" w:cs="Calibri"/>
          <w:b w:val="1"/>
          <w:bCs w:val="1"/>
          <w:i w:val="0"/>
          <w:iCs w:val="0"/>
          <w:caps w:val="0"/>
          <w:smallCaps w:val="0"/>
          <w:strike w:val="0"/>
          <w:dstrike w:val="0"/>
          <w:noProof w:val="0"/>
          <w:color w:val="4472C4" w:themeColor="accent1" w:themeTint="FF" w:themeShade="FF"/>
          <w:sz w:val="28"/>
          <w:szCs w:val="28"/>
          <w:u w:val="single"/>
          <w:lang w:val="en-US"/>
        </w:rPr>
        <w:t>Requirements for renewal of revenue cycle management company accreditation RCM</w:t>
      </w:r>
    </w:p>
    <w:p xmlns:wp14="http://schemas.microsoft.com/office/word/2010/wordml" w:rsidP="0608719A" wp14:paraId="191DDB57" wp14:textId="66320E1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608719A" wp14:paraId="3DA68D02" wp14:textId="76A3589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55"/>
        <w:gridCol w:w="8775"/>
      </w:tblGrid>
      <w:tr w:rsidR="0608719A" w:rsidTr="0608719A" w14:paraId="15EFA68A">
        <w:trPr>
          <w:trHeight w:val="375"/>
        </w:trPr>
        <w:tc>
          <w:tcPr>
            <w:tcW w:w="555" w:type="dxa"/>
            <w:shd w:val="clear" w:color="auto" w:fill="5B9BD5" w:themeFill="accent5"/>
            <w:tcMar>
              <w:left w:w="105" w:type="dxa"/>
              <w:right w:w="105" w:type="dxa"/>
            </w:tcMar>
            <w:vAlign w:val="top"/>
          </w:tcPr>
          <w:p w:rsidR="0608719A" w:rsidP="0608719A" w:rsidRDefault="0608719A" w14:paraId="432AB520" w14:textId="1D343035">
            <w:pPr>
              <w:spacing w:after="0" w:line="240" w:lineRule="auto"/>
              <w:jc w:val="center"/>
              <w:rPr>
                <w:rFonts w:ascii="Calibri" w:hAnsi="Calibri" w:eastAsia="Calibri" w:cs="Calibri"/>
                <w:b w:val="0"/>
                <w:bCs w:val="0"/>
                <w:i w:val="0"/>
                <w:iCs w:val="0"/>
                <w:color w:val="FFFFFF" w:themeColor="background1" w:themeTint="FF" w:themeShade="FF"/>
                <w:sz w:val="22"/>
                <w:szCs w:val="22"/>
              </w:rPr>
            </w:pPr>
            <w:r w:rsidRPr="0608719A" w:rsidR="0608719A">
              <w:rPr>
                <w:rFonts w:ascii="Calibri" w:hAnsi="Calibri" w:eastAsia="Calibri" w:cs="Calibri"/>
                <w:b w:val="0"/>
                <w:bCs w:val="0"/>
                <w:i w:val="0"/>
                <w:iCs w:val="0"/>
                <w:color w:val="FFFFFF" w:themeColor="background1" w:themeTint="FF" w:themeShade="FF"/>
                <w:sz w:val="22"/>
                <w:szCs w:val="22"/>
                <w:lang w:val="en-US"/>
              </w:rPr>
              <w:t>NO.</w:t>
            </w:r>
          </w:p>
        </w:tc>
        <w:tc>
          <w:tcPr>
            <w:tcW w:w="8775" w:type="dxa"/>
            <w:shd w:val="clear" w:color="auto" w:fill="5B9BD5" w:themeFill="accent5"/>
            <w:tcMar>
              <w:left w:w="105" w:type="dxa"/>
              <w:right w:w="105" w:type="dxa"/>
            </w:tcMar>
            <w:vAlign w:val="top"/>
          </w:tcPr>
          <w:p w:rsidR="0608719A" w:rsidP="0608719A" w:rsidRDefault="0608719A" w14:paraId="732CD9BF" w14:textId="583D58F4">
            <w:pPr>
              <w:tabs>
                <w:tab w:val="left" w:leader="none" w:pos="3340"/>
                <w:tab w:val="center" w:leader="none" w:pos="4299"/>
              </w:tabs>
              <w:spacing w:after="0" w:line="240" w:lineRule="auto"/>
              <w:rPr>
                <w:rFonts w:ascii="Calibri" w:hAnsi="Calibri" w:eastAsia="Calibri" w:cs="Calibri"/>
                <w:b w:val="0"/>
                <w:bCs w:val="0"/>
                <w:i w:val="0"/>
                <w:iCs w:val="0"/>
                <w:color w:val="FFFFFF" w:themeColor="background1" w:themeTint="FF" w:themeShade="FF"/>
                <w:sz w:val="28"/>
                <w:szCs w:val="28"/>
              </w:rPr>
            </w:pPr>
            <w:r w:rsidRPr="0608719A" w:rsidR="0608719A">
              <w:rPr>
                <w:rFonts w:ascii="Calibri" w:hAnsi="Calibri" w:eastAsia="Calibri" w:cs="Calibri"/>
                <w:b w:val="1"/>
                <w:bCs w:val="1"/>
                <w:i w:val="0"/>
                <w:iCs w:val="0"/>
                <w:color w:val="FFFFFF" w:themeColor="background1" w:themeTint="FF" w:themeShade="FF"/>
                <w:sz w:val="28"/>
                <w:szCs w:val="28"/>
                <w:lang w:val="en-US"/>
              </w:rPr>
              <w:t>Requirements</w:t>
            </w:r>
          </w:p>
        </w:tc>
      </w:tr>
      <w:tr w:rsidR="0608719A" w:rsidTr="0608719A" w14:paraId="0EFEDCEB">
        <w:trPr>
          <w:trHeight w:val="300"/>
        </w:trPr>
        <w:tc>
          <w:tcPr>
            <w:tcW w:w="555" w:type="dxa"/>
            <w:shd w:val="clear" w:color="auto" w:fill="5B9BD5" w:themeFill="accent5"/>
            <w:tcMar>
              <w:left w:w="105" w:type="dxa"/>
              <w:right w:w="105" w:type="dxa"/>
            </w:tcMar>
            <w:vAlign w:val="top"/>
          </w:tcPr>
          <w:p w:rsidR="0608719A" w:rsidP="0608719A" w:rsidRDefault="0608719A" w14:paraId="5C164815" w14:textId="1DCEEF0D">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w:t>
            </w:r>
          </w:p>
        </w:tc>
        <w:tc>
          <w:tcPr>
            <w:tcW w:w="8775" w:type="dxa"/>
            <w:tcMar>
              <w:left w:w="105" w:type="dxa"/>
              <w:right w:w="105" w:type="dxa"/>
            </w:tcMar>
            <w:vAlign w:val="top"/>
          </w:tcPr>
          <w:p w:rsidR="0608719A" w:rsidP="0608719A" w:rsidRDefault="0608719A" w14:paraId="6C466984" w14:textId="0470AB41">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Application for renewal of accreditation certified by the Chamber of Commerce .</w:t>
            </w:r>
          </w:p>
        </w:tc>
      </w:tr>
      <w:tr w:rsidR="0608719A" w:rsidTr="0608719A" w14:paraId="1C52480F">
        <w:trPr>
          <w:trHeight w:val="300"/>
        </w:trPr>
        <w:tc>
          <w:tcPr>
            <w:tcW w:w="555" w:type="dxa"/>
            <w:shd w:val="clear" w:color="auto" w:fill="5B9BD5" w:themeFill="accent5"/>
            <w:tcMar>
              <w:left w:w="105" w:type="dxa"/>
              <w:right w:w="105" w:type="dxa"/>
            </w:tcMar>
            <w:vAlign w:val="top"/>
          </w:tcPr>
          <w:p w:rsidR="0608719A" w:rsidP="0608719A" w:rsidRDefault="0608719A" w14:paraId="6D2B1E4D" w14:textId="0CF9EB20">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2</w:t>
            </w:r>
          </w:p>
        </w:tc>
        <w:tc>
          <w:tcPr>
            <w:tcW w:w="8775" w:type="dxa"/>
            <w:tcMar>
              <w:left w:w="105" w:type="dxa"/>
              <w:right w:w="105" w:type="dxa"/>
            </w:tcMar>
            <w:vAlign w:val="top"/>
          </w:tcPr>
          <w:p w:rsidR="0608719A" w:rsidP="0608719A" w:rsidRDefault="0608719A" w14:paraId="2F436ABE" w14:textId="51355605">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Audited accounts for the previous financial year.</w:t>
            </w:r>
          </w:p>
        </w:tc>
      </w:tr>
      <w:tr w:rsidR="0608719A" w:rsidTr="0608719A" w14:paraId="447245AE">
        <w:trPr>
          <w:trHeight w:val="300"/>
        </w:trPr>
        <w:tc>
          <w:tcPr>
            <w:tcW w:w="555" w:type="dxa"/>
            <w:shd w:val="clear" w:color="auto" w:fill="5B9BD5" w:themeFill="accent5"/>
            <w:tcMar>
              <w:left w:w="105" w:type="dxa"/>
              <w:right w:w="105" w:type="dxa"/>
            </w:tcMar>
            <w:vAlign w:val="top"/>
          </w:tcPr>
          <w:p w:rsidR="0608719A" w:rsidP="0608719A" w:rsidRDefault="0608719A" w14:paraId="2B29412F" w14:textId="7F8970FC">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3</w:t>
            </w:r>
          </w:p>
        </w:tc>
        <w:tc>
          <w:tcPr>
            <w:tcW w:w="8775" w:type="dxa"/>
            <w:tcMar>
              <w:left w:w="105" w:type="dxa"/>
              <w:right w:w="105" w:type="dxa"/>
            </w:tcMar>
            <w:vAlign w:val="top"/>
          </w:tcPr>
          <w:p w:rsidR="0608719A" w:rsidP="0608719A" w:rsidRDefault="0608719A" w14:paraId="735604C9" w14:textId="04B148DA">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Certificate of linking with Nphies Insurance Services and Transactions Platform.</w:t>
            </w:r>
          </w:p>
        </w:tc>
      </w:tr>
      <w:tr w:rsidR="0608719A" w:rsidTr="0608719A" w14:paraId="6A288664">
        <w:trPr>
          <w:trHeight w:val="300"/>
        </w:trPr>
        <w:tc>
          <w:tcPr>
            <w:tcW w:w="555" w:type="dxa"/>
            <w:shd w:val="clear" w:color="auto" w:fill="5B9BD5" w:themeFill="accent5"/>
            <w:tcMar>
              <w:left w:w="105" w:type="dxa"/>
              <w:right w:w="105" w:type="dxa"/>
            </w:tcMar>
            <w:vAlign w:val="top"/>
          </w:tcPr>
          <w:p w:rsidR="0608719A" w:rsidP="0608719A" w:rsidRDefault="0608719A" w14:paraId="79A36FB5" w14:textId="41766FB1">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4</w:t>
            </w:r>
          </w:p>
        </w:tc>
        <w:tc>
          <w:tcPr>
            <w:tcW w:w="8775" w:type="dxa"/>
            <w:tcMar>
              <w:left w:w="105" w:type="dxa"/>
              <w:right w:w="105" w:type="dxa"/>
            </w:tcMar>
            <w:vAlign w:val="top"/>
          </w:tcPr>
          <w:p w:rsidR="0608719A" w:rsidP="0608719A" w:rsidRDefault="0608719A" w14:paraId="30C6DFD5" w14:textId="214ABD61">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The professional liability insurance policy covers the risks of professional liability for default, negligence and error and the insurance cover must not be less than SAR 1,000,000 million.</w:t>
            </w:r>
          </w:p>
        </w:tc>
      </w:tr>
      <w:tr w:rsidR="0608719A" w:rsidTr="0608719A" w14:paraId="11C9E480">
        <w:trPr>
          <w:trHeight w:val="300"/>
        </w:trPr>
        <w:tc>
          <w:tcPr>
            <w:tcW w:w="555" w:type="dxa"/>
            <w:shd w:val="clear" w:color="auto" w:fill="5B9BD5" w:themeFill="accent5"/>
            <w:tcMar>
              <w:left w:w="105" w:type="dxa"/>
              <w:right w:w="105" w:type="dxa"/>
            </w:tcMar>
            <w:vAlign w:val="top"/>
          </w:tcPr>
          <w:p w:rsidR="0608719A" w:rsidP="0608719A" w:rsidRDefault="0608719A" w14:paraId="6EBD3EE9" w14:textId="2FE7E306">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5</w:t>
            </w:r>
          </w:p>
        </w:tc>
        <w:tc>
          <w:tcPr>
            <w:tcW w:w="8775" w:type="dxa"/>
            <w:tcMar>
              <w:left w:w="105" w:type="dxa"/>
              <w:right w:w="105" w:type="dxa"/>
            </w:tcMar>
            <w:vAlign w:val="top"/>
          </w:tcPr>
          <w:p w:rsidR="0608719A" w:rsidP="0608719A" w:rsidRDefault="0608719A" w14:paraId="4DCAE001" w14:textId="5D42763E">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The validity of the commercial register under the name (Revenue Cycle Management) and that it should not be suspended based on an implementation request, with a copy of the commercial register provided to us.</w:t>
            </w:r>
          </w:p>
        </w:tc>
      </w:tr>
      <w:tr w:rsidR="0608719A" w:rsidTr="0608719A" w14:paraId="15146FDE">
        <w:trPr>
          <w:trHeight w:val="300"/>
        </w:trPr>
        <w:tc>
          <w:tcPr>
            <w:tcW w:w="555" w:type="dxa"/>
            <w:shd w:val="clear" w:color="auto" w:fill="5B9BD5" w:themeFill="accent5"/>
            <w:tcMar>
              <w:left w:w="105" w:type="dxa"/>
              <w:right w:w="105" w:type="dxa"/>
            </w:tcMar>
            <w:vAlign w:val="top"/>
          </w:tcPr>
          <w:p w:rsidR="0608719A" w:rsidP="0608719A" w:rsidRDefault="0608719A" w14:paraId="767850F5" w14:textId="12ACF0BA">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6</w:t>
            </w:r>
          </w:p>
        </w:tc>
        <w:tc>
          <w:tcPr>
            <w:tcW w:w="8775" w:type="dxa"/>
            <w:tcMar>
              <w:left w:w="105" w:type="dxa"/>
              <w:right w:w="105" w:type="dxa"/>
            </w:tcMar>
            <w:vAlign w:val="top"/>
          </w:tcPr>
          <w:p w:rsidR="0608719A" w:rsidP="0608719A" w:rsidRDefault="0608719A" w14:paraId="7385B5E1" w14:textId="7B91057F">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Copy of the company's incorporation contract.</w:t>
            </w:r>
          </w:p>
        </w:tc>
      </w:tr>
      <w:tr w:rsidR="0608719A" w:rsidTr="0608719A" w14:paraId="6DAF16D3">
        <w:trPr>
          <w:trHeight w:val="300"/>
        </w:trPr>
        <w:tc>
          <w:tcPr>
            <w:tcW w:w="555" w:type="dxa"/>
            <w:shd w:val="clear" w:color="auto" w:fill="5B9BD5" w:themeFill="accent5"/>
            <w:tcMar>
              <w:left w:w="105" w:type="dxa"/>
              <w:right w:w="105" w:type="dxa"/>
            </w:tcMar>
            <w:vAlign w:val="top"/>
          </w:tcPr>
          <w:p w:rsidR="0608719A" w:rsidP="0608719A" w:rsidRDefault="0608719A" w14:paraId="4FAD6749" w14:textId="060C5387">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7</w:t>
            </w:r>
          </w:p>
        </w:tc>
        <w:tc>
          <w:tcPr>
            <w:tcW w:w="8775" w:type="dxa"/>
            <w:tcMar>
              <w:left w:w="105" w:type="dxa"/>
              <w:right w:w="105" w:type="dxa"/>
            </w:tcMar>
            <w:vAlign w:val="top"/>
          </w:tcPr>
          <w:p w:rsidR="0608719A" w:rsidP="0608719A" w:rsidRDefault="0608719A" w14:paraId="22CD8C6D" w14:textId="77905EAB">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Copy of valid zakat and income certificate.</w:t>
            </w:r>
          </w:p>
        </w:tc>
      </w:tr>
      <w:tr w:rsidR="0608719A" w:rsidTr="0608719A" w14:paraId="1D65FACC">
        <w:trPr>
          <w:trHeight w:val="300"/>
        </w:trPr>
        <w:tc>
          <w:tcPr>
            <w:tcW w:w="555" w:type="dxa"/>
            <w:shd w:val="clear" w:color="auto" w:fill="5B9BD5" w:themeFill="accent5"/>
            <w:tcMar>
              <w:left w:w="105" w:type="dxa"/>
              <w:right w:w="105" w:type="dxa"/>
            </w:tcMar>
            <w:vAlign w:val="top"/>
          </w:tcPr>
          <w:p w:rsidR="0608719A" w:rsidP="0608719A" w:rsidRDefault="0608719A" w14:paraId="3A7468D0" w14:textId="3BB0C37A">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8</w:t>
            </w:r>
          </w:p>
        </w:tc>
        <w:tc>
          <w:tcPr>
            <w:tcW w:w="8775" w:type="dxa"/>
            <w:tcMar>
              <w:left w:w="105" w:type="dxa"/>
              <w:right w:w="105" w:type="dxa"/>
            </w:tcMar>
            <w:vAlign w:val="top"/>
          </w:tcPr>
          <w:p w:rsidR="0608719A" w:rsidP="0608719A" w:rsidRDefault="0608719A" w14:paraId="5239F202" w14:textId="08EC6DDF">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Copy of the certificate of social insurance subscription showing the names of employees with the certificate of Saudization.</w:t>
            </w:r>
          </w:p>
        </w:tc>
      </w:tr>
      <w:tr w:rsidR="0608719A" w:rsidTr="0608719A" w14:paraId="404D1561">
        <w:trPr>
          <w:trHeight w:val="300"/>
        </w:trPr>
        <w:tc>
          <w:tcPr>
            <w:tcW w:w="555" w:type="dxa"/>
            <w:shd w:val="clear" w:color="auto" w:fill="5B9BD5" w:themeFill="accent5"/>
            <w:tcMar>
              <w:left w:w="105" w:type="dxa"/>
              <w:right w:w="105" w:type="dxa"/>
            </w:tcMar>
            <w:vAlign w:val="top"/>
          </w:tcPr>
          <w:p w:rsidR="0608719A" w:rsidP="0608719A" w:rsidRDefault="0608719A" w14:paraId="0E648F2B" w14:textId="277EA2E4">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9</w:t>
            </w:r>
          </w:p>
        </w:tc>
        <w:tc>
          <w:tcPr>
            <w:tcW w:w="8775" w:type="dxa"/>
            <w:tcMar>
              <w:left w:w="105" w:type="dxa"/>
              <w:right w:w="105" w:type="dxa"/>
            </w:tcMar>
            <w:vAlign w:val="top"/>
          </w:tcPr>
          <w:p w:rsidR="0608719A" w:rsidP="0608719A" w:rsidRDefault="0608719A" w14:paraId="5CCF67B1" w14:textId="2348FF41">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Valid medical coding certificate by the Saudi Health Council (ICD10-AM).</w:t>
            </w:r>
          </w:p>
        </w:tc>
      </w:tr>
      <w:tr w:rsidR="0608719A" w:rsidTr="0608719A" w14:paraId="0872B6AB">
        <w:trPr>
          <w:trHeight w:val="300"/>
        </w:trPr>
        <w:tc>
          <w:tcPr>
            <w:tcW w:w="555" w:type="dxa"/>
            <w:shd w:val="clear" w:color="auto" w:fill="5B9BD5" w:themeFill="accent5"/>
            <w:tcMar>
              <w:left w:w="105" w:type="dxa"/>
              <w:right w:w="105" w:type="dxa"/>
            </w:tcMar>
            <w:vAlign w:val="top"/>
          </w:tcPr>
          <w:p w:rsidR="0608719A" w:rsidP="0608719A" w:rsidRDefault="0608719A" w14:paraId="766AFA35" w14:textId="498321CD">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10</w:t>
            </w:r>
          </w:p>
        </w:tc>
        <w:tc>
          <w:tcPr>
            <w:tcW w:w="8775" w:type="dxa"/>
            <w:tcMar>
              <w:left w:w="105" w:type="dxa"/>
              <w:right w:w="105" w:type="dxa"/>
            </w:tcMar>
            <w:vAlign w:val="top"/>
          </w:tcPr>
          <w:p w:rsidR="0608719A" w:rsidP="0608719A" w:rsidRDefault="0608719A" w14:paraId="3491F3CA" w14:textId="1902B30B">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Fill out a general information form about the company.</w:t>
            </w:r>
          </w:p>
        </w:tc>
      </w:tr>
      <w:tr w:rsidR="0608719A" w:rsidTr="0608719A" w14:paraId="4A2B1204">
        <w:trPr>
          <w:trHeight w:val="300"/>
        </w:trPr>
        <w:tc>
          <w:tcPr>
            <w:tcW w:w="555" w:type="dxa"/>
            <w:shd w:val="clear" w:color="auto" w:fill="5B9BD5" w:themeFill="accent5"/>
            <w:tcMar>
              <w:left w:w="105" w:type="dxa"/>
              <w:right w:w="105" w:type="dxa"/>
            </w:tcMar>
            <w:vAlign w:val="top"/>
          </w:tcPr>
          <w:p w:rsidR="0608719A" w:rsidP="0608719A" w:rsidRDefault="0608719A" w14:paraId="11875DCD" w14:textId="50991C09">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11</w:t>
            </w:r>
          </w:p>
        </w:tc>
        <w:tc>
          <w:tcPr>
            <w:tcW w:w="8775" w:type="dxa"/>
            <w:tcMar>
              <w:left w:w="105" w:type="dxa"/>
              <w:right w:w="105" w:type="dxa"/>
            </w:tcMar>
            <w:vAlign w:val="top"/>
          </w:tcPr>
          <w:p w:rsidR="0608719A" w:rsidP="0608719A" w:rsidRDefault="0608719A" w14:paraId="1BF9152E" w14:textId="33A85632">
            <w:pPr>
              <w:pStyle w:val="ListParagraph"/>
              <w:numPr>
                <w:ilvl w:val="0"/>
                <w:numId w:val="1"/>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 xml:space="preserve">A list of all contracted service providers includes the following: </w:t>
            </w:r>
          </w:p>
          <w:p w:rsidR="0608719A" w:rsidP="0608719A" w:rsidRDefault="0608719A" w14:paraId="0F1AA896" w14:textId="6E767FAC">
            <w:pPr>
              <w:pStyle w:val="ListParagraph"/>
              <w:numPr>
                <w:ilvl w:val="0"/>
                <w:numId w:val="1"/>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The type of contract and the start and end dates of the contract.</w:t>
            </w:r>
          </w:p>
          <w:p w:rsidR="0608719A" w:rsidP="0608719A" w:rsidRDefault="0608719A" w14:paraId="5EB7332C" w14:textId="47C8E7EE">
            <w:pPr>
              <w:pStyle w:val="ListParagraph"/>
              <w:numPr>
                <w:ilvl w:val="0"/>
                <w:numId w:val="1"/>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Approved communication data with the service providers signed with them (name of the service provider's official, mobile, e-mail).</w:t>
            </w:r>
          </w:p>
          <w:p w:rsidR="0608719A" w:rsidP="0608719A" w:rsidRDefault="0608719A" w14:paraId="08211446" w14:textId="1A69E0DB">
            <w:pPr>
              <w:pStyle w:val="ListParagraph"/>
              <w:numPr>
                <w:ilvl w:val="0"/>
                <w:numId w:val="1"/>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Name of company employees responsible for each contract signed with service providers.</w:t>
            </w:r>
          </w:p>
          <w:p w:rsidR="0608719A" w:rsidP="0608719A" w:rsidRDefault="0608719A" w14:paraId="19CEFE9B" w14:textId="492BC822">
            <w:pPr>
              <w:pStyle w:val="ListParagraph"/>
              <w:numPr>
                <w:ilvl w:val="0"/>
                <w:numId w:val="1"/>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 copy of all contracts signed with health service providers in the private or public sectors.</w:t>
            </w:r>
          </w:p>
        </w:tc>
      </w:tr>
      <w:tr w:rsidR="0608719A" w:rsidTr="0608719A" w14:paraId="1BD481B3">
        <w:trPr>
          <w:trHeight w:val="300"/>
        </w:trPr>
        <w:tc>
          <w:tcPr>
            <w:tcW w:w="555" w:type="dxa"/>
            <w:shd w:val="clear" w:color="auto" w:fill="5B9BD5" w:themeFill="accent5"/>
            <w:tcMar>
              <w:left w:w="105" w:type="dxa"/>
              <w:right w:w="105" w:type="dxa"/>
            </w:tcMar>
            <w:vAlign w:val="top"/>
          </w:tcPr>
          <w:p w:rsidR="0608719A" w:rsidP="0608719A" w:rsidRDefault="0608719A" w14:paraId="2E66D3F9" w14:textId="0AD68D39">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12</w:t>
            </w:r>
          </w:p>
        </w:tc>
        <w:tc>
          <w:tcPr>
            <w:tcW w:w="8775" w:type="dxa"/>
            <w:tcMar>
              <w:left w:w="105" w:type="dxa"/>
              <w:right w:w="105" w:type="dxa"/>
            </w:tcMar>
            <w:vAlign w:val="top"/>
          </w:tcPr>
          <w:p w:rsidR="0608719A" w:rsidP="0608719A" w:rsidRDefault="0608719A" w14:paraId="02871E23" w14:textId="48960165">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 copy of the organizational structure showing staff members' names and positions.</w:t>
            </w:r>
          </w:p>
        </w:tc>
      </w:tr>
      <w:tr w:rsidR="0608719A" w:rsidTr="0608719A" w14:paraId="5676290F">
        <w:trPr>
          <w:trHeight w:val="300"/>
        </w:trPr>
        <w:tc>
          <w:tcPr>
            <w:tcW w:w="555" w:type="dxa"/>
            <w:shd w:val="clear" w:color="auto" w:fill="5B9BD5" w:themeFill="accent5"/>
            <w:tcMar>
              <w:left w:w="105" w:type="dxa"/>
              <w:right w:w="105" w:type="dxa"/>
            </w:tcMar>
            <w:vAlign w:val="top"/>
          </w:tcPr>
          <w:p w:rsidR="0608719A" w:rsidP="0608719A" w:rsidRDefault="0608719A" w14:paraId="3A247E91" w14:textId="581F87C7">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13</w:t>
            </w:r>
          </w:p>
        </w:tc>
        <w:tc>
          <w:tcPr>
            <w:tcW w:w="8775" w:type="dxa"/>
            <w:tcMar>
              <w:left w:w="105" w:type="dxa"/>
              <w:right w:w="105" w:type="dxa"/>
            </w:tcMar>
            <w:vAlign w:val="top"/>
          </w:tcPr>
          <w:p w:rsidR="0608719A" w:rsidP="0608719A" w:rsidRDefault="0608719A" w14:paraId="224BD257" w14:textId="1BC9FA98">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Executive managers obtain university degrees or professional certificates in revenue cycle management or health insurance, provided that employees in administrative and supervisory positions have at least five years of experience in revenue cycle management or health insurance.</w:t>
            </w:r>
          </w:p>
        </w:tc>
      </w:tr>
      <w:tr w:rsidR="0608719A" w:rsidTr="0608719A" w14:paraId="4A2A830F">
        <w:trPr>
          <w:trHeight w:val="300"/>
        </w:trPr>
        <w:tc>
          <w:tcPr>
            <w:tcW w:w="555" w:type="dxa"/>
            <w:shd w:val="clear" w:color="auto" w:fill="5B9BD5" w:themeFill="accent5"/>
            <w:tcMar>
              <w:left w:w="105" w:type="dxa"/>
              <w:right w:w="105" w:type="dxa"/>
            </w:tcMar>
            <w:vAlign w:val="top"/>
          </w:tcPr>
          <w:p w:rsidR="0608719A" w:rsidP="0608719A" w:rsidRDefault="0608719A" w14:paraId="21D2371D" w14:textId="2BB3C624">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14</w:t>
            </w:r>
          </w:p>
        </w:tc>
        <w:tc>
          <w:tcPr>
            <w:tcW w:w="8775" w:type="dxa"/>
            <w:tcMar>
              <w:left w:w="105" w:type="dxa"/>
              <w:right w:w="105" w:type="dxa"/>
            </w:tcMar>
            <w:vAlign w:val="top"/>
          </w:tcPr>
          <w:p w:rsidR="0608719A" w:rsidP="0608719A" w:rsidRDefault="0608719A" w14:paraId="2BE2DA4C" w14:textId="76C2D045">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Fill out the Executives Endorsement Form.  (General Manager or Chief Executive Officer).</w:t>
            </w:r>
          </w:p>
        </w:tc>
      </w:tr>
      <w:tr w:rsidR="0608719A" w:rsidTr="0608719A" w14:paraId="32D5E45D">
        <w:trPr>
          <w:trHeight w:val="300"/>
        </w:trPr>
        <w:tc>
          <w:tcPr>
            <w:tcW w:w="555" w:type="dxa"/>
            <w:shd w:val="clear" w:color="auto" w:fill="5B9BD5" w:themeFill="accent5"/>
            <w:tcMar>
              <w:left w:w="105" w:type="dxa"/>
              <w:right w:w="105" w:type="dxa"/>
            </w:tcMar>
            <w:vAlign w:val="top"/>
          </w:tcPr>
          <w:p w:rsidR="0608719A" w:rsidP="0608719A" w:rsidRDefault="0608719A" w14:paraId="6D5C76B5" w14:textId="7DD95837">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15</w:t>
            </w:r>
          </w:p>
        </w:tc>
        <w:tc>
          <w:tcPr>
            <w:tcW w:w="8775" w:type="dxa"/>
            <w:tcMar>
              <w:left w:w="105" w:type="dxa"/>
              <w:right w:w="105" w:type="dxa"/>
            </w:tcMar>
            <w:vAlign w:val="top"/>
          </w:tcPr>
          <w:p w:rsidR="0608719A" w:rsidP="0608719A" w:rsidRDefault="0608719A" w14:paraId="7CC4575C" w14:textId="64808A3F">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Provide us with professional certificates for coders and professional classification from the Commission for Health Specialties (if any).</w:t>
            </w:r>
          </w:p>
        </w:tc>
      </w:tr>
      <w:tr w:rsidR="0608719A" w:rsidTr="0608719A" w14:paraId="05E862FB">
        <w:trPr>
          <w:trHeight w:val="300"/>
        </w:trPr>
        <w:tc>
          <w:tcPr>
            <w:tcW w:w="555" w:type="dxa"/>
            <w:shd w:val="clear" w:color="auto" w:fill="5B9BD5" w:themeFill="accent5"/>
            <w:tcMar>
              <w:left w:w="105" w:type="dxa"/>
              <w:right w:w="105" w:type="dxa"/>
            </w:tcMar>
            <w:vAlign w:val="top"/>
          </w:tcPr>
          <w:p w:rsidR="0608719A" w:rsidP="0608719A" w:rsidRDefault="0608719A" w14:paraId="4F8131BD" w14:textId="56EB2A71">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16</w:t>
            </w:r>
          </w:p>
        </w:tc>
        <w:tc>
          <w:tcPr>
            <w:tcW w:w="8775" w:type="dxa"/>
            <w:tcMar>
              <w:left w:w="105" w:type="dxa"/>
              <w:right w:w="105" w:type="dxa"/>
            </w:tcMar>
            <w:vAlign w:val="top"/>
          </w:tcPr>
          <w:p w:rsidR="0608719A" w:rsidP="0608719A" w:rsidRDefault="0608719A" w14:paraId="5833F97C" w14:textId="394D2E00">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Minimum 3 coders.</w:t>
            </w:r>
          </w:p>
          <w:p w:rsidR="0608719A" w:rsidP="0608719A" w:rsidRDefault="0608719A" w14:paraId="274A6398" w14:textId="73117DD0">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Coded for every 24 hypnosis per day.</w:t>
            </w:r>
          </w:p>
          <w:p w:rsidR="0608719A" w:rsidP="0608719A" w:rsidRDefault="0608719A" w14:paraId="50DACD2C" w14:textId="1C310033">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Coded for every 80 external visits per day.</w:t>
            </w:r>
          </w:p>
        </w:tc>
      </w:tr>
      <w:tr w:rsidR="0608719A" w:rsidTr="0608719A" w14:paraId="48AB26FF">
        <w:trPr>
          <w:trHeight w:val="300"/>
        </w:trPr>
        <w:tc>
          <w:tcPr>
            <w:tcW w:w="555" w:type="dxa"/>
            <w:shd w:val="clear" w:color="auto" w:fill="5B9BD5" w:themeFill="accent5"/>
            <w:tcMar>
              <w:left w:w="105" w:type="dxa"/>
              <w:right w:w="105" w:type="dxa"/>
            </w:tcMar>
            <w:vAlign w:val="top"/>
          </w:tcPr>
          <w:p w:rsidR="0608719A" w:rsidP="0608719A" w:rsidRDefault="0608719A" w14:paraId="3F1DCDDD" w14:textId="5B893AD3">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17</w:t>
            </w:r>
          </w:p>
        </w:tc>
        <w:tc>
          <w:tcPr>
            <w:tcW w:w="8775" w:type="dxa"/>
            <w:tcMar>
              <w:left w:w="105" w:type="dxa"/>
              <w:right w:w="105" w:type="dxa"/>
            </w:tcMar>
            <w:vAlign w:val="top"/>
          </w:tcPr>
          <w:p w:rsidR="0608719A" w:rsidP="0608719A" w:rsidRDefault="0608719A" w14:paraId="4066C9A5" w14:textId="11E13748">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(1) Licensed physician as a minimum, and the number will be re-determined in the future according to the volume of work, with providing us with CVs and professional certificates for doctors.</w:t>
            </w:r>
          </w:p>
        </w:tc>
      </w:tr>
      <w:tr w:rsidR="0608719A" w:rsidTr="0608719A" w14:paraId="24A7A9D4">
        <w:trPr>
          <w:trHeight w:val="300"/>
        </w:trPr>
        <w:tc>
          <w:tcPr>
            <w:tcW w:w="555" w:type="dxa"/>
            <w:shd w:val="clear" w:color="auto" w:fill="5B9BD5" w:themeFill="accent5"/>
            <w:tcMar>
              <w:left w:w="105" w:type="dxa"/>
              <w:right w:w="105" w:type="dxa"/>
            </w:tcMar>
            <w:vAlign w:val="top"/>
          </w:tcPr>
          <w:p w:rsidR="0608719A" w:rsidP="0608719A" w:rsidRDefault="0608719A" w14:paraId="336EB93E" w14:textId="67C6DF11">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18</w:t>
            </w:r>
          </w:p>
        </w:tc>
        <w:tc>
          <w:tcPr>
            <w:tcW w:w="8775" w:type="dxa"/>
            <w:tcMar>
              <w:left w:w="105" w:type="dxa"/>
              <w:right w:w="105" w:type="dxa"/>
            </w:tcMar>
            <w:vAlign w:val="top"/>
          </w:tcPr>
          <w:p w:rsidR="0608719A" w:rsidP="0608719A" w:rsidRDefault="0608719A" w14:paraId="17EEEBF0" w14:textId="49644E98">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An update regarding what has been achieved from the work plan submitted to the Council upon approval for the first time (in case the renewal is for the third time, submitting a new work plan for a period of 3 years).</w:t>
            </w:r>
          </w:p>
        </w:tc>
      </w:tr>
      <w:tr w:rsidR="0608719A" w:rsidTr="0608719A" w14:paraId="43B1B45F">
        <w:trPr>
          <w:trHeight w:val="300"/>
        </w:trPr>
        <w:tc>
          <w:tcPr>
            <w:tcW w:w="555" w:type="dxa"/>
            <w:shd w:val="clear" w:color="auto" w:fill="5B9BD5" w:themeFill="accent5"/>
            <w:tcMar>
              <w:left w:w="105" w:type="dxa"/>
              <w:right w:w="105" w:type="dxa"/>
            </w:tcMar>
            <w:vAlign w:val="top"/>
          </w:tcPr>
          <w:p w:rsidR="0608719A" w:rsidP="0608719A" w:rsidRDefault="0608719A" w14:paraId="32C6E331" w14:textId="34CD285B">
            <w:pPr>
              <w:spacing w:after="0" w:line="240" w:lineRule="auto"/>
              <w:jc w:val="center"/>
              <w:rPr>
                <w:rFonts w:ascii="Calibri" w:hAnsi="Calibri" w:eastAsia="Calibri" w:cs="Calibri"/>
                <w:b w:val="0"/>
                <w:bCs w:val="0"/>
                <w:i w:val="0"/>
                <w:iCs w:val="0"/>
                <w:color w:val="FFFFFF" w:themeColor="background1" w:themeTint="FF" w:themeShade="FF"/>
                <w:sz w:val="24"/>
                <w:szCs w:val="24"/>
              </w:rPr>
            </w:pPr>
            <w:r w:rsidRPr="0608719A" w:rsidR="0608719A">
              <w:rPr>
                <w:rFonts w:ascii="Calibri" w:hAnsi="Calibri" w:eastAsia="Calibri" w:cs="Calibri"/>
                <w:b w:val="0"/>
                <w:bCs w:val="0"/>
                <w:i w:val="0"/>
                <w:iCs w:val="0"/>
                <w:color w:val="FFFFFF" w:themeColor="background1" w:themeTint="FF" w:themeShade="FF"/>
                <w:sz w:val="24"/>
                <w:szCs w:val="24"/>
                <w:lang w:val="en-US"/>
              </w:rPr>
              <w:t>19</w:t>
            </w:r>
          </w:p>
        </w:tc>
        <w:tc>
          <w:tcPr>
            <w:tcW w:w="8775" w:type="dxa"/>
            <w:tcMar>
              <w:left w:w="105" w:type="dxa"/>
              <w:right w:w="105" w:type="dxa"/>
            </w:tcMar>
            <w:vAlign w:val="top"/>
          </w:tcPr>
          <w:p w:rsidR="0608719A" w:rsidP="0608719A" w:rsidRDefault="0608719A" w14:paraId="28559B50" w14:textId="0F4B19F6">
            <w:p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 xml:space="preserve">Manual of internal policies and procedures adopted as follows: </w:t>
            </w:r>
          </w:p>
          <w:p w:rsidR="0608719A" w:rsidP="0608719A" w:rsidRDefault="0608719A" w14:paraId="35BC7320" w14:textId="44DBE32B">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Procedures for contracting with service providers approved by the Council, with a copy of the contract forms attached.</w:t>
            </w:r>
          </w:p>
          <w:p w:rsidR="0608719A" w:rsidP="0608719A" w:rsidRDefault="0608719A" w14:paraId="04BDB8F7" w14:textId="5332FCFD">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Procedures for raising medical approvals.</w:t>
            </w:r>
          </w:p>
          <w:p w:rsidR="0608719A" w:rsidP="0608719A" w:rsidRDefault="0608719A" w14:paraId="6764FD35" w14:textId="6774EA51">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Claims processing procedures.</w:t>
            </w:r>
          </w:p>
          <w:p w:rsidR="0608719A" w:rsidP="0608719A" w:rsidRDefault="0608719A" w14:paraId="2066F62C" w14:textId="6874DC1E">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Procedures for dealing with complaints.</w:t>
            </w:r>
          </w:p>
          <w:p w:rsidR="0608719A" w:rsidP="0608719A" w:rsidRDefault="0608719A" w14:paraId="5DAA0652" w14:textId="3D64B764">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Procedures for confidentiality of the insured's data, for example, but not limited to (data access controls / data protection / data storage and backup procedures / confidentiality of patient data).</w:t>
            </w:r>
          </w:p>
          <w:p w:rsidR="0608719A" w:rsidP="0608719A" w:rsidRDefault="0608719A" w14:paraId="48564D98" w14:textId="4226C243">
            <w:pPr>
              <w:pStyle w:val="ListParagraph"/>
              <w:numPr>
                <w:ilvl w:val="0"/>
                <w:numId w:val="6"/>
              </w:numPr>
              <w:spacing w:after="0" w:line="240" w:lineRule="auto"/>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Procedures to reduce fraud, misuse and negligence, and the company's plan to combat fraud in line with the private health insurance sector's behavior policy.</w:t>
            </w:r>
          </w:p>
        </w:tc>
      </w:tr>
      <w:tr w:rsidR="0608719A" w:rsidTr="0608719A" w14:paraId="4C85FB57">
        <w:trPr>
          <w:trHeight w:val="300"/>
        </w:trPr>
        <w:tc>
          <w:tcPr>
            <w:tcW w:w="555" w:type="dxa"/>
            <w:shd w:val="clear" w:color="auto" w:fill="5B9BD5" w:themeFill="accent5"/>
            <w:tcMar>
              <w:left w:w="105" w:type="dxa"/>
              <w:right w:w="105" w:type="dxa"/>
            </w:tcMar>
            <w:vAlign w:val="top"/>
          </w:tcPr>
          <w:p w:rsidR="0608719A" w:rsidP="0608719A" w:rsidRDefault="0608719A" w14:paraId="54AD2A7A" w14:textId="7E25313F">
            <w:pPr>
              <w:spacing w:after="0" w:line="240" w:lineRule="auto"/>
              <w:rPr>
                <w:rFonts w:ascii="Calibri" w:hAnsi="Calibri" w:eastAsia="Calibri" w:cs="Calibri"/>
                <w:b w:val="0"/>
                <w:bCs w:val="0"/>
                <w:i w:val="0"/>
                <w:iCs w:val="0"/>
                <w:sz w:val="24"/>
                <w:szCs w:val="24"/>
              </w:rPr>
            </w:pPr>
          </w:p>
        </w:tc>
        <w:tc>
          <w:tcPr>
            <w:tcW w:w="8775" w:type="dxa"/>
            <w:tcMar>
              <w:left w:w="105" w:type="dxa"/>
              <w:right w:w="105" w:type="dxa"/>
            </w:tcMar>
            <w:vAlign w:val="top"/>
          </w:tcPr>
          <w:p w:rsidR="0608719A" w:rsidP="0608719A" w:rsidRDefault="0608719A" w14:paraId="066E05D3" w14:textId="26D9682E">
            <w:pPr>
              <w:spacing w:after="0" w:line="240" w:lineRule="auto"/>
              <w:jc w:val="center"/>
              <w:rPr>
                <w:rFonts w:ascii="Calibri" w:hAnsi="Calibri" w:eastAsia="Calibri" w:cs="Calibri"/>
                <w:b w:val="0"/>
                <w:bCs w:val="0"/>
                <w:i w:val="0"/>
                <w:iCs w:val="0"/>
                <w:sz w:val="24"/>
                <w:szCs w:val="24"/>
              </w:rPr>
            </w:pPr>
            <w:r w:rsidRPr="0608719A" w:rsidR="0608719A">
              <w:rPr>
                <w:rFonts w:ascii="Calibri" w:hAnsi="Calibri" w:eastAsia="Calibri" w:cs="Calibri"/>
                <w:b w:val="0"/>
                <w:bCs w:val="0"/>
                <w:i w:val="0"/>
                <w:iCs w:val="0"/>
                <w:sz w:val="24"/>
                <w:szCs w:val="24"/>
                <w:lang w:val="en-US"/>
              </w:rPr>
              <w:t>Accreditation is annual</w:t>
            </w:r>
          </w:p>
        </w:tc>
      </w:tr>
    </w:tbl>
    <w:p xmlns:wp14="http://schemas.microsoft.com/office/word/2010/wordml" w:rsidP="0608719A" wp14:paraId="4DE3D49D" wp14:textId="7CC68040">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08719A" wp14:paraId="50B8FA80" wp14:textId="156C134F">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08719A" wp14:paraId="3B260AE8" wp14:textId="160518FD">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08719A" wp14:paraId="49585C48" wp14:textId="47565CE2">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08719A" wp14:paraId="3AFB2D18" wp14:textId="449267E6">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08719A" wp14:paraId="2C078E63" wp14:textId="176341B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491eccda"/>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181d0c3"/>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cfa7ca"/>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d9421b"/>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337725"/>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88bf1d"/>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0e203b"/>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f415a4"/>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d77326"/>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6df541"/>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d5f2ff0"/>
    <w:multiLevelType xmlns:w="http://schemas.openxmlformats.org/wordprocessingml/2006/main" w:val="hybridMultilevel"/>
    <w:lvl xmlns:w="http://schemas.openxmlformats.org/wordprocessingml/2006/main" w:ilvl="0">
      <w:start w:val="25"/>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6DA39"/>
    <w:rsid w:val="0608719A"/>
    <w:rsid w:val="1C76DA39"/>
    <w:rsid w:val="263CA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DA39"/>
  <w15:chartTrackingRefBased/>
  <w15:docId w15:val="{5A5050A4-F157-42C7-AD5F-2976320AB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0cba6bde08be45f9"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83F7B66BDFC4EB78C1210881E124E" ma:contentTypeVersion="1" ma:contentTypeDescription="Create a new document." ma:contentTypeScope="" ma:versionID="886b1ec92b3155b9db457bf776d1612e">
  <xsd:schema xmlns:xsd="http://www.w3.org/2001/XMLSchema" xmlns:xs="http://www.w3.org/2001/XMLSchema" xmlns:p="http://schemas.microsoft.com/office/2006/metadata/properties" xmlns:ns2="1ff36aa1-72e9-4905-b516-98c22966a5fc" targetNamespace="http://schemas.microsoft.com/office/2006/metadata/properties" ma:root="true" ma:fieldsID="2c45ecba66ac6f4fc23bd0716ec76bd4" ns2:_="">
    <xsd:import namespace="1ff36aa1-72e9-4905-b516-98c22966a5fc"/>
    <xsd:element name="properties">
      <xsd:complexType>
        <xsd:sequence>
          <xsd:element name="documentManagement">
            <xsd:complexType>
              <xsd:all>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6aa1-72e9-4905-b516-98c22966a5fc" elementFormDefault="qualified">
    <xsd:import namespace="http://schemas.microsoft.com/office/2006/documentManagement/types"/>
    <xsd:import namespace="http://schemas.microsoft.com/office/infopath/2007/PartnerControls"/>
    <xsd:element name="tag" ma:index="8" nillable="true" ma:displayName="tag" ma:default="requirements" ma:format="Dropdown" ma:internalName="tag">
      <xsd:simpleType>
        <xsd:restriction base="dms:Choice">
          <xsd:enumeration value="standards"/>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1ff36aa1-72e9-4905-b516-98c22966a5fc">requirements</tag>
  </documentManagement>
</p:properties>
</file>

<file path=customXml/itemProps1.xml><?xml version="1.0" encoding="utf-8"?>
<ds:datastoreItem xmlns:ds="http://schemas.openxmlformats.org/officeDocument/2006/customXml" ds:itemID="{A512F822-92D2-4DBD-93B3-0E703FDFED2A}"/>
</file>

<file path=customXml/itemProps2.xml><?xml version="1.0" encoding="utf-8"?>
<ds:datastoreItem xmlns:ds="http://schemas.openxmlformats.org/officeDocument/2006/customXml" ds:itemID="{9144E2B7-8971-4F0C-8DC2-B0F9C0890143}"/>
</file>

<file path=customXml/itemProps3.xml><?xml version="1.0" encoding="utf-8"?>
<ds:datastoreItem xmlns:ds="http://schemas.openxmlformats.org/officeDocument/2006/customXml" ds:itemID="{604B5B99-5AF0-4AFB-8D58-F6DBF6EDA9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Badugaish</dc:creator>
  <cp:keywords/>
  <dc:description/>
  <cp:lastModifiedBy>Omar Badugaish</cp:lastModifiedBy>
  <dcterms:created xsi:type="dcterms:W3CDTF">2023-09-16T17:26:14Z</dcterms:created>
  <dcterms:modified xsi:type="dcterms:W3CDTF">2023-09-16T17:26:54Z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0x01010062683F7B66BDFC4EB78C1210881E124E</vt:lpwstr>
  </property>
</Properties>
</file>